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frameworks, implementing data access control protocols and documentation to ensure secure HR-aligned data classification and cross-functional compliance.</w:t>
        <w:br/>
      </w:r>
    </w:p>
    <w:p>
      <w:r>
        <w:rPr>
          <w:rFonts w:ascii="Times New Roman" w:hAnsi="Times New Roman"/>
          <w:sz w:val="20"/>
        </w:rPr>
        <w:br/>
        <w:t>• Managed metadata management and data cataloging initiatives by creating centralized documentation, ensuring data lineage accuracy and improving discoverability for business stakeholders.</w:t>
        <w:br/>
      </w:r>
    </w:p>
    <w:p>
      <w:r>
        <w:rPr>
          <w:rFonts w:ascii="Times New Roman" w:hAnsi="Times New Roman"/>
          <w:sz w:val="20"/>
        </w:rPr>
        <w:br/>
        <w:t>• Led project delivery management through proactive RAID reporting and milestone tracking, ensuring cross-functional initiatives were completed under tight timelines in an Agile environment.</w:t>
        <w:br/>
      </w:r>
    </w:p>
    <w:p>
      <w:r>
        <w:rPr>
          <w:rFonts w:ascii="Times New Roman" w:hAnsi="Times New Roman"/>
          <w:sz w:val="20"/>
        </w:rPr>
        <w:br/>
        <w:t>• Developed data quality monitoring procedures and validation schemas to uphold data privacy standards and regulatory compliance across internal data assets.</w:t>
        <w:br/>
      </w:r>
    </w:p>
    <w:p>
      <w:r>
        <w:rPr>
          <w:rFonts w:ascii="Times New Roman" w:hAnsi="Times New Roman"/>
          <w:sz w:val="20"/>
        </w:rPr>
        <w:br/>
        <w:t>• Integrated disparate datasets into a structured data catalog, focusing on HR data domains and employee platform metadata to drive organizational trust and reporting transparency.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