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specifically analyzing operational data for improved business outcomes.</w:t>
        <w:br/>
      </w:r>
    </w:p>
    <w:p>
      <w:r>
        <w:rPr>
          <w:rFonts w:ascii="Times New Roman" w:hAnsi="Times New Roman"/>
          <w:sz w:val="20"/>
        </w:rPr>
        <w:br/>
        <w:t>• Created statistical models to identify high-value customer segments; targeted marketing initiatives informed by these models contributed to a 300% increase in revenue in the targeted segment over 12 months, demonstrating advanced analytical techniques applicable to healthcare patient segmentation.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 and improving reporting accuracy, showcasing experience with data pipelines and automation relevant to healthcare data streams.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resulting in a consistent "single source of truth" for all business stakeholders and a reduction in report discrepancies, aligning with the need for robust data quality in healthcare reporting.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demonstrating strong communication skills vital for collaborating with healthcare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