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pipelines for Haven Technologies, strictly adhering to data governance frameworks and ensuring secure handling of sensitive information in compliance with HIPAA and IRB data privacy protocols.</w:t>
        <w:br/>
      </w:r>
    </w:p>
    <w:p>
      <w:r>
        <w:rPr>
          <w:rFonts w:ascii="Times New Roman" w:hAnsi="Times New Roman"/>
          <w:sz w:val="20"/>
        </w:rPr>
        <w:br/>
        <w:t>• Engineered scalable ETL solutions to ingest and harmonize disparate data sources, focusing on de-identification processes to protect patient privacy while maintaining data utility for longitudinal research tracking.</w:t>
        <w:br/>
      </w:r>
    </w:p>
    <w:p>
      <w:r>
        <w:rPr>
          <w:rFonts w:ascii="Times New Roman" w:hAnsi="Times New Roman"/>
          <w:sz w:val="20"/>
        </w:rPr>
        <w:br/>
        <w:t>• Integrated heterogeneous clinical datasets into structured formats, gaining functional familiarity with healthcare interoperability standards like FHIR to improve cross-system data consistency.</w:t>
        <w:br/>
      </w:r>
    </w:p>
    <w:p>
      <w:r>
        <w:rPr>
          <w:rFonts w:ascii="Times New Roman" w:hAnsi="Times New Roman"/>
          <w:sz w:val="20"/>
        </w:rPr>
        <w:br/>
        <w:t>• Applied rigorous data quality validation using Great Expectations to ensure the integrity of research-ready datasets, mirroring the documentation and auditability standards required for EHR-based clinical registries.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translate complex research objectives into standardized data models, ensuring alignment with enterprise-level clinical data architectures.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