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ecommerce conversion funnels by analyzing transactional data in SQL to identify drop-off points, resulting in actionable recommendations that increased revenue.</w:t>
        <w:br/>
      </w:r>
    </w:p>
    <w:p>
      <w:r>
        <w:rPr>
          <w:rFonts w:ascii="Times New Roman" w:hAnsi="Times New Roman"/>
          <w:sz w:val="20"/>
        </w:rPr>
        <w:br/>
        <w:t>• Executed complex SQL queries (SELECT, JOINs, WHERE clauses) to extract datasets from Snowflake, ensuring high data quality through rigorous validation and error-checking processes.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support website tracking implementation, ensuring accurate event tagging for Google Analytics to capture critical customer behavior metrics.</w:t>
        <w:br/>
      </w:r>
    </w:p>
    <w:p>
      <w:r>
        <w:rPr>
          <w:rFonts w:ascii="Times New Roman" w:hAnsi="Times New Roman"/>
          <w:sz w:val="20"/>
        </w:rPr>
        <w:br/>
        <w:t>• Spearheaded A/B testing initiatives to optimize digital performance, leveraging statistical analysis to provide business recommendations that improved site engagement and conversion rates.</w:t>
        <w:br/>
      </w:r>
    </w:p>
    <w:p>
      <w:r>
        <w:rPr>
          <w:rFonts w:ascii="Times New Roman" w:hAnsi="Times New Roman"/>
          <w:sz w:val="20"/>
        </w:rPr>
        <w:br/>
        <w:t>• Monitored and maintained data pipelines to ensure the integrity of retail transactional data, enabling stakeholders to make data-driven decisions based on accurate, real-time performance reporting.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