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Partnered with cross-functional teams in high-growth, fast-paced environments to streamline communication workflows using Slack and Google Workspace, ensuring seamless collaboration across departments.</w:t>
        <w:br/>
      </w:r>
    </w:p>
    <w:p>
      <w:r>
        <w:rPr>
          <w:rFonts w:ascii="Times New Roman" w:hAnsi="Times New Roman"/>
          <w:sz w:val="20"/>
        </w:rPr>
        <w:br/>
        <w:t>• Operated as a strategic partner within a start-up software setting, providing proactive executive support to leadership while defining administrative workflows from the ground up.</w:t>
        <w:br/>
      </w:r>
    </w:p>
    <w:p>
      <w:r>
        <w:rPr>
          <w:rFonts w:ascii="Times New Roman" w:hAnsi="Times New Roman"/>
          <w:sz w:val="20"/>
        </w:rPr>
        <w:br/>
        <w:t>• Leveraged Slack and real-time messaging platforms to facilitate rapid, cross-functional collaboration, ensuring executive directives were communicated and executed with high agility.</w:t>
        <w:br/>
      </w:r>
    </w:p>
    <w:p>
      <w:r>
        <w:rPr>
          <w:rFonts w:ascii="Times New Roman" w:hAnsi="Times New Roman"/>
          <w:sz w:val="20"/>
        </w:rPr>
        <w:br/>
        <w:t>• Successfully supported software-driven business operations, demonstrating the 'startup DNA' required to pivot quickly and anticipate the needs of C-suite executives in a high-growth environment.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