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models for customer segmentation using scikit-learn, applying machine learning techniques to identify high-value borrowers and reduce default risk in loan portfolios.</w:t>
        <w:br/>
      </w:r>
    </w:p>
    <w:p>
      <w:r>
        <w:rPr>
          <w:rFonts w:ascii="Times New Roman" w:hAnsi="Times New Roman"/>
          <w:sz w:val="20"/>
        </w:rPr>
        <w:br/>
        <w:t>• Engineered end-to-end ML pipelines to process 2M+ row datasets, focusing on feature engineering and model tuning to optimize algorithm performance and predictive accuracy.</w:t>
        <w:br/>
      </w:r>
    </w:p>
    <w:p>
      <w:r>
        <w:rPr>
          <w:rFonts w:ascii="Times New Roman" w:hAnsi="Times New Roman"/>
          <w:sz w:val="20"/>
        </w:rPr>
        <w:br/>
        <w:t>• Designed and executed A/B testing frameworks for marketing campaigns, utilizing statistical analysis to evaluate conversion rate lift and inform product growth strategies.</w:t>
        <w:br/>
      </w:r>
    </w:p>
    <w:p>
      <w:r>
        <w:rPr>
          <w:rFonts w:ascii="Times New Roman" w:hAnsi="Times New Roman"/>
          <w:sz w:val="20"/>
        </w:rPr>
        <w:br/>
        <w:t>• Optimized data workflows for large-scale datasets, ensuring robust data profiling and validation practices to maintain data integrity in production-level code environments.</w:t>
        <w:br/>
      </w:r>
    </w:p>
    <w:p>
      <w:r>
        <w:rPr>
          <w:rFonts w:ascii="Times New Roman" w:hAnsi="Times New Roman"/>
          <w:sz w:val="20"/>
        </w:rPr>
        <w:br/>
        <w:t>• Partnered with product teams to translate complex model outputs into actionable product recommendations, using data storytelling to communicate experiment results and drive feature adoption.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