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geospatial analysis workflows using Python and QGIS to map service footprints and optimize infrastructure expansion, directly informing strategic network capacity planning decisions.</w:t>
        <w:br/>
      </w:r>
    </w:p>
    <w:p>
      <w:r>
        <w:rPr>
          <w:rFonts w:ascii="Times New Roman" w:hAnsi="Times New Roman"/>
          <w:sz w:val="20"/>
        </w:rPr>
        <w:br/>
        <w:t>• Built spatial models and interactive dashboards in Power BI, integrating geographic datasets to visualize infrastructure gaps and provide actionable investment recommendations for market expansion.</w:t>
        <w:br/>
      </w:r>
    </w:p>
    <w:p>
      <w:r>
        <w:rPr>
          <w:rFonts w:ascii="Times New Roman" w:hAnsi="Times New Roman"/>
          <w:sz w:val="20"/>
        </w:rPr>
        <w:br/>
        <w:t>• Engineered ETL pipelines in Python and SQL to aggregate consumer demographics and network usage data, supporting large-scale geospatial analysis and competitive market intelligence.</w:t>
        <w:br/>
      </w:r>
    </w:p>
    <w:p>
      <w:r>
        <w:rPr>
          <w:rFonts w:ascii="Times New Roman" w:hAnsi="Times New Roman"/>
          <w:sz w:val="20"/>
        </w:rPr>
        <w:br/>
        <w:t>• Collaborated with cross-functional teams to integrate GIS data into existing cloud-based environments (including GCP/AWS), enhancing the accuracy of spatial decision-making models.</w:t>
        <w:br/>
      </w:r>
    </w:p>
    <w:p>
      <w:r>
        <w:rPr>
          <w:rFonts w:ascii="Times New Roman" w:hAnsi="Times New Roman"/>
          <w:sz w:val="20"/>
        </w:rPr>
        <w:br/>
        <w:t>• Translated complex geospatial findings into executive-level business cases, driving infrastructure investment decisions through clear data storytelling and strategic mapping reports.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