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ETL pipelines using Python, implementing unit tests and robust error handling to ensure data quality and reproducible, production-ready workflows.</w:t>
        <w:br/>
      </w:r>
    </w:p>
    <w:p>
      <w:r>
        <w:rPr>
          <w:rFonts w:ascii="Times New Roman" w:hAnsi="Times New Roman"/>
          <w:sz w:val="20"/>
        </w:rPr>
        <w:br/>
        <w:t>• Transitioned data analysis projects into interactive web-based applications using Streamlit, facilitating stakeholder self-service and real-time visualization of key performance metrics.</w:t>
        <w:br/>
      </w:r>
    </w:p>
    <w:p>
      <w:r>
        <w:rPr>
          <w:rFonts w:ascii="Times New Roman" w:hAnsi="Times New Roman"/>
          <w:sz w:val="20"/>
        </w:rPr>
        <w:br/>
        <w:t>• Applied CI/CD best practices using Git to manage version-controlled, collaborative code deployments, ensuring stability and auditability for automated model pipelines.</w:t>
        <w:br/>
      </w:r>
    </w:p>
    <w:p>
      <w:r>
        <w:rPr>
          <w:rFonts w:ascii="Times New Roman" w:hAnsi="Times New Roman"/>
          <w:sz w:val="20"/>
        </w:rPr>
        <w:br/>
        <w:t>• Conducted rigorous experimentation and A/B testing on marketing campaigns, using statistical validation to measure causal impact and optimize high-value customer segmentation strategies.</w:t>
        <w:br/>
      </w:r>
    </w:p>
    <w:p>
      <w:r>
        <w:rPr>
          <w:rFonts w:ascii="Times New Roman" w:hAnsi="Times New Roman"/>
          <w:sz w:val="20"/>
        </w:rPr>
        <w:br/>
        <w:t>• Integrated automated documentation and model governance frameworks into technical projects, ensuring adherence to standardized operational and quality assurance metrics.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