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manage project lifecycles, maintaining RAID logs (Risks, Assumptions, Issues, Dependencies) and providing status updates to leadership to ensure program transparency.</w:t>
        <w:br/>
      </w:r>
    </w:p>
    <w:p>
      <w:r>
        <w:rPr>
          <w:rFonts w:ascii="Times New Roman" w:hAnsi="Times New Roman"/>
          <w:sz w:val="20"/>
        </w:rPr>
        <w:br/>
        <w:t>• Streamlined operations by facilitating governance forums and cross-functional meetings, documenting key decisions and action items to ensure alignment across global stakeholders.</w:t>
        <w:br/>
      </w:r>
    </w:p>
    <w:p>
      <w:r>
        <w:rPr>
          <w:rFonts w:ascii="Times New Roman" w:hAnsi="Times New Roman"/>
          <w:sz w:val="20"/>
        </w:rPr>
        <w:br/>
        <w:t>• Developed high-impact PowerPoint presentations and visual dashboards to provide actionable insights for project health, resource allocation, and schedule tracking for executive decision-making.</w:t>
        <w:br/>
      </w:r>
    </w:p>
    <w:p>
      <w:r>
        <w:rPr>
          <w:rFonts w:ascii="Times New Roman" w:hAnsi="Times New Roman"/>
          <w:sz w:val="20"/>
        </w:rPr>
        <w:br/>
        <w:t>• Applied formal delivery methodologies to manage project documentation, utilizing JIRA and Confluence to enforce change control principles and ensure compliance with quality standards.</w:t>
        <w:br/>
      </w:r>
    </w:p>
    <w:p>
      <w:r>
        <w:rPr>
          <w:rFonts w:ascii="Times New Roman" w:hAnsi="Times New Roman"/>
          <w:sz w:val="20"/>
        </w:rPr>
        <w:br/>
        <w:t>• Analyzed operational performance data to identify process gaps and recommended enhancements to project management templates, driving efficiency in large-scale transformation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