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machine learning algorithms using Python to identify high-value customer segments, contributing to a 300% revenue increase while ensuring outputs met strict data governance and compliance standards.</w:t>
        <w:br/>
      </w:r>
    </w:p>
    <w:p>
      <w:r>
        <w:rPr>
          <w:rFonts w:ascii="Times New Roman" w:hAnsi="Times New Roman"/>
          <w:sz w:val="20"/>
        </w:rPr>
        <w:br/>
        <w:t>• Integrated financial datasets from CRM and ERP-style sources, applying statistical modeling to automate time-series forecasting, which significantly reduced manual workload for finance stakeholders.</w:t>
        <w:br/>
      </w:r>
    </w:p>
    <w:p>
      <w:r>
        <w:rPr>
          <w:rFonts w:ascii="Times New Roman" w:hAnsi="Times New Roman"/>
          <w:sz w:val="20"/>
        </w:rPr>
        <w:br/>
        <w:t>• Implemented automated data pipelines and model deployment strategies using Git and CI/CD, adhering to robust risk management protocols to ensure high data quality and system reliability.</w:t>
        <w:br/>
      </w:r>
    </w:p>
    <w:p>
      <w:r>
        <w:rPr>
          <w:rFonts w:ascii="Times New Roman" w:hAnsi="Times New Roman"/>
          <w:sz w:val="20"/>
        </w:rPr>
        <w:br/>
        <w:t>• Engineered and deployed analytical models into production, focusing on NLP-based insights to summarize customer sentiment and support strategic decision-making for business leaders.</w:t>
        <w:br/>
      </w:r>
    </w:p>
    <w:p>
      <w:r>
        <w:rPr>
          <w:rFonts w:ascii="Times New Roman" w:hAnsi="Times New Roman"/>
          <w:sz w:val="20"/>
        </w:rPr>
        <w:br/>
        <w:t>• Partnered with cross-functional teams to translate complex financial business needs into scalable Generative AI and machine learning solutions, ensuring full alignment with company-wide compliance and IT architecture.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