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partners to perform financial analysis on operational data, translating complex datasets into senior-leadership-ready reporting that influenced budgetary decisions.</w:t>
        <w:br/>
      </w:r>
    </w:p>
    <w:p>
      <w:r>
        <w:rPr>
          <w:rFonts w:ascii="Times New Roman" w:hAnsi="Times New Roman"/>
          <w:sz w:val="20"/>
        </w:rPr>
        <w:br/>
        <w:t>• Led data structuring initiatives to support Third-Party Oversight, defining data model requirements to ensure transparency and accurate risk rating reporting for external vendors.</w:t>
        <w:br/>
      </w:r>
    </w:p>
    <w:p>
      <w:r>
        <w:rPr>
          <w:rFonts w:ascii="Times New Roman" w:hAnsi="Times New Roman"/>
          <w:sz w:val="20"/>
        </w:rPr>
        <w:br/>
        <w:t>• Partnered with department leads to establish consensus on key performance indicators (KPIs), delivering visual analytics that enabled data-driven, executive-level decision-making.</w:t>
        <w:br/>
      </w:r>
    </w:p>
    <w:p>
      <w:r>
        <w:rPr>
          <w:rFonts w:ascii="Times New Roman" w:hAnsi="Times New Roman"/>
          <w:sz w:val="20"/>
        </w:rPr>
        <w:br/>
        <w:t>• Championed data governance best practices by documenting SOPs for data pipelines, ensuring consistent data integrity for financial and operational reporting.</w:t>
        <w:br/>
      </w:r>
    </w:p>
    <w:p>
      <w:r>
        <w:rPr>
          <w:rFonts w:ascii="Times New Roman" w:hAnsi="Times New Roman"/>
          <w:sz w:val="20"/>
        </w:rPr>
        <w:br/>
        <w:t>• Utilized stakeholder influencing skills to align cross-functional teams on project roadmaps, ensuring timely delivery of documentation and reporting requirements for senior management.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