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using advanced SQL techniques (CTEs, window functions, joins) to clean and reconcile insurance testing data,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and deployed time series models to identify high-value customer segments, informing targeted marketing initiatives that contributed to a 300% increase in new customer acquisition over 12 months.</w:t>
        <w:br/>
      </w:r>
    </w:p>
    <w:p>
      <w:r>
        <w:rPr>
          <w:rFonts w:ascii="Times New Roman" w:hAnsi="Times New Roman"/>
          <w:sz w:val="20"/>
        </w:rPr>
        <w:br/>
        <w:t>• Collaborated cross-functionally with Underwriting, Product, and UI/UX teams to align software features with business objectives, resulting in a 25% reduction in project delivery delays, demonstrating strong interpersonal and critical thinking skills in a fast-paced environment.</w:t>
        <w:br/>
      </w:r>
    </w:p>
    <w:p>
      <w:r>
        <w:rPr>
          <w:rFonts w:ascii="Times New Roman" w:hAnsi="Times New Roman"/>
          <w:sz w:val="20"/>
        </w:rPr>
        <w:br/>
        <w:t>• Designed an end-to-end ETL pipeline using Python and SQL to transform raw loan data into analytics-ready tables, including handling missing values, type casting, and validation checks, showcasing robust data wrangling capabilities.</w:t>
        <w:br/>
      </w:r>
    </w:p>
    <w:p>
      <w:r>
        <w:rPr>
          <w:rFonts w:ascii="Times New Roman" w:hAnsi="Times New Roman"/>
          <w:sz w:val="20"/>
        </w:rPr>
        <w:br/>
        <w:t>• Created interactive Power BI dashboards and Tableau visualizations to replace manual reporting, improving KPI visibility and accelerating executive decision-making, aligning with the need for clear communication of macroeconomic and financial data trends.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