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documented enterprise-grade data architectures and models, ensuring robust data governance by establishing metadata standards and tracking data lineage across PostgreSQL environments.</w:t>
        <w:br/>
      </w:r>
    </w:p>
    <w:p>
      <w:r>
        <w:rPr>
          <w:rFonts w:ascii="Times New Roman" w:hAnsi="Times New Roman"/>
          <w:sz w:val="20"/>
        </w:rPr>
        <w:br/>
        <w:t>• Enforced data security and privacy compliance by implementing rigorous data protection, retention, and destruction policies to ensure integrity and alignment with firm-wide governance frameworks.</w:t>
        <w:br/>
      </w:r>
    </w:p>
    <w:p>
      <w:r>
        <w:rPr>
          <w:rFonts w:ascii="Times New Roman" w:hAnsi="Times New Roman"/>
          <w:sz w:val="20"/>
        </w:rPr>
        <w:br/>
        <w:t>• Mapped complex data attributes and system dependencies, creating comprehensive documentation that serves as the foundation for data architecture and secure integration processes.</w:t>
        <w:br/>
      </w:r>
    </w:p>
    <w:p>
      <w:r>
        <w:rPr>
          <w:rFonts w:ascii="Times New Roman" w:hAnsi="Times New Roman"/>
          <w:sz w:val="20"/>
        </w:rPr>
        <w:br/>
        <w:t>• Developed and managed automated monitoring processes to ensure high data quality and integrity, mitigating risks associated with data storage, usage, and lifecycle management.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define data architecture requirements, ensuring that all models incorporate security, privacy, and long-term retention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