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time-series data pipelines using Python and SQL to track macroeconomic indicators, applying statistical models to correlate internal customer spending with broader economic trends.</w:t>
        <w:br/>
      </w:r>
    </w:p>
    <w:p>
      <w:r>
        <w:rPr>
          <w:rFonts w:ascii="Times New Roman" w:hAnsi="Times New Roman"/>
          <w:sz w:val="20"/>
        </w:rPr>
        <w:br/>
        <w:t>• Utilized supervised and unsupervised learning techniques to perform customer segmentation and churn prediction, identifying patterns that explain shifts in consumer savings and credit behavior.</w:t>
        <w:br/>
      </w:r>
    </w:p>
    <w:p>
      <w:r>
        <w:rPr>
          <w:rFonts w:ascii="Times New Roman" w:hAnsi="Times New Roman"/>
          <w:sz w:val="20"/>
        </w:rPr>
        <w:br/>
        <w:t>• Conducted econometric analysis on marketing campaign data, utilizing R and Python to validate the relationship between external economic variables and business performance metrics.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macroeconomic indicators into internal models, improving the accuracy of financial forecasting and business strategy recommendations.</w:t>
        <w:br/>
      </w:r>
    </w:p>
    <w:p>
      <w:r>
        <w:rPr>
          <w:rFonts w:ascii="Times New Roman" w:hAnsi="Times New Roman"/>
          <w:sz w:val="20"/>
        </w:rPr>
        <w:br/>
        <w:t>• Developed predictive models to identify early signals in consumer financial health, translating complex machine learning outputs into actionable economic insights for senior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