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Leveraged internal AI-assisted tools and LLMs to synthesize meeting notes, capture key takeaways, and draft succinct executive summaries for senior leadership review.</w:t>
        <w:br/>
      </w:r>
    </w:p>
    <w:p>
      <w:r>
        <w:rPr>
          <w:rFonts w:ascii="Times New Roman" w:hAnsi="Times New Roman"/>
          <w:sz w:val="20"/>
        </w:rPr>
        <w:br/>
        <w:t>• Collaborated directly with the Business Manager and Finance team to track project deliverables, manage departmental budgets, and perform accurate monthly expense reporting and reconciliation.</w:t>
        <w:br/>
      </w:r>
    </w:p>
    <w:p>
      <w:r>
        <w:rPr>
          <w:rFonts w:ascii="Times New Roman" w:hAnsi="Times New Roman"/>
          <w:sz w:val="20"/>
        </w:rPr>
        <w:br/>
        <w:t>• Provided high-touch executive gatekeeping and proactive floor support, serving as the primary point of contact for internal staff and high-net-worth clients while maintaining strict confidentiality.</w:t>
        <w:br/>
      </w:r>
    </w:p>
    <w:p>
      <w:r>
        <w:rPr>
          <w:rFonts w:ascii="Times New Roman" w:hAnsi="Times New Roman"/>
          <w:sz w:val="20"/>
        </w:rPr>
        <w:br/>
        <w:t>• Produced minutes and replay documents for senior-level meetings, ensuring action items were distributed to stakeholders and follow-up activities were tracked to completion.</w:t>
        <w:br/>
      </w:r>
    </w:p>
    <w:p>
      <w:r>
        <w:rPr>
          <w:rFonts w:ascii="Times New Roman" w:hAnsi="Times New Roman"/>
          <w:sz w:val="20"/>
        </w:rPr>
        <w:br/>
        <w:t>• Led office operations and floor support initiatives, coordinating site requirements and serving as a backup point of contact for executive leadership in a fast-paced, high-volume environment.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