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implemented data governance frameworks, focusing on metadata management and data lineage to ensure a 'single source of truth' for business stakeholders.</w:t>
        <w:br/>
      </w:r>
    </w:p>
    <w:p>
      <w:r>
        <w:rPr>
          <w:rFonts w:ascii="Times New Roman" w:hAnsi="Times New Roman"/>
          <w:sz w:val="20"/>
        </w:rPr>
        <w:br/>
        <w:t>• Managed sensitive information workflows ensuring strict compliance with PI/PHI handling protocols during the integration of PostgreSQL warehouses and CRM data.</w:t>
        <w:br/>
      </w:r>
    </w:p>
    <w:p>
      <w:r>
        <w:rPr>
          <w:rFonts w:ascii="Times New Roman" w:hAnsi="Times New Roman"/>
          <w:sz w:val="20"/>
        </w:rPr>
        <w:br/>
        <w:t>• Collaborated on cross-functional initiatives to support the transition toward a 'data-as-a-product' operating model, aligning data assets with business domain requirements.</w:t>
        <w:br/>
      </w:r>
    </w:p>
    <w:p>
      <w:r>
        <w:rPr>
          <w:rFonts w:ascii="Times New Roman" w:hAnsi="Times New Roman"/>
          <w:sz w:val="20"/>
        </w:rPr>
        <w:br/>
        <w:t>• Documented data assets and mapping specifications to support data quality rules, leveraging experience in database management systems to ensure compliance with enterprise DM&amp;G standards.</w:t>
        <w:br/>
      </w:r>
    </w:p>
    <w:p>
      <w:r>
        <w:rPr>
          <w:rFonts w:ascii="Times New Roman" w:hAnsi="Times New Roman"/>
          <w:sz w:val="20"/>
        </w:rPr>
        <w:br/>
        <w:t>• Assessed potential exposure to Microsoft Purview-style metadata and data cataloging concepts while optimizing data pipeline quality through Great Expectations and automated validation rules.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