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(CTEs, window functions) to perform data validation and reconciliation of complex datasets, mirroring workflows used in anti-money laundering (AML) and sanctions monitoring processes.</w:t>
        <w:br/>
      </w:r>
    </w:p>
    <w:p>
      <w:r>
        <w:rPr>
          <w:rFonts w:ascii="Times New Roman" w:hAnsi="Times New Roman"/>
          <w:sz w:val="20"/>
        </w:rPr>
        <w:br/>
        <w:t>• Collaborated on cross-functional data projects, utilizing Python and SQL to curate, maintain, and publish large-scale datasets, ensuring high data integrity for critical business risk assessments.</w:t>
        <w:br/>
      </w:r>
    </w:p>
    <w:p>
      <w:r>
        <w:rPr>
          <w:rFonts w:ascii="Times New Roman" w:hAnsi="Times New Roman"/>
          <w:sz w:val="20"/>
        </w:rPr>
        <w:br/>
        <w:t>• Automated data collection workflows using Python to scrape structured web data (utilizing JSON, HTML, and XPath) to support research into international trade and security compliance.</w:t>
        <w:br/>
      </w:r>
    </w:p>
    <w:p>
      <w:r>
        <w:rPr>
          <w:rFonts w:ascii="Times New Roman" w:hAnsi="Times New Roman"/>
          <w:sz w:val="20"/>
        </w:rPr>
        <w:br/>
        <w:t>• Conducted exploratory data analysis on 2M+ row datasets to identify risk-based typologies and patterns, developing a foundation for identifying illicit network behaviors and regulatory policy impacts.</w:t>
        <w:br/>
      </w:r>
    </w:p>
    <w:p>
      <w:r>
        <w:rPr>
          <w:rFonts w:ascii="Times New Roman" w:hAnsi="Times New Roman"/>
          <w:sz w:val="20"/>
        </w:rPr>
        <w:br/>
        <w:t>• Developed and maintained documentation for complex data pipelines, applying systematic quality assurance protocols essential for tracking policy activity and enforcement actions.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