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sales volume and pricing trends by product and channel, utilizing advanced Excel models to perform variance analysis and identify growth opportunities.</w:t>
        <w:br/>
      </w:r>
    </w:p>
    <w:p>
      <w:r>
        <w:rPr>
          <w:rFonts w:ascii="Times New Roman" w:hAnsi="Times New Roman"/>
          <w:sz w:val="20"/>
        </w:rPr>
        <w:br/>
        <w:t>• Forecasted weekly and monthly sales performance by synthesizing large, complex datasets from multiple sources, ensuring high-level accuracy for senior leadership strategy sessions.</w:t>
        <w:br/>
      </w:r>
    </w:p>
    <w:p>
      <w:r>
        <w:rPr>
          <w:rFonts w:ascii="Times New Roman" w:hAnsi="Times New Roman"/>
          <w:sz w:val="20"/>
        </w:rPr>
        <w:br/>
        <w:t>• Applied rigorous data cleaning and reconciliation protocols across sales pipelines to ensure data integrity, a transferable skill critical for success in fast-paced CPG-style environments.</w:t>
        <w:br/>
      </w:r>
    </w:p>
    <w:p>
      <w:r>
        <w:rPr>
          <w:rFonts w:ascii="Times New Roman" w:hAnsi="Times New Roman"/>
          <w:sz w:val="20"/>
        </w:rPr>
        <w:br/>
        <w:t>• Developed deep analytical expertise through cross-functional collaboration, effectively translating sales metrics and volume data into actionable insights for diverse business stakeholders.</w:t>
        <w:br/>
      </w:r>
    </w:p>
    <w:p>
      <w:r>
        <w:rPr>
          <w:rFonts w:ascii="Times New Roman" w:hAnsi="Times New Roman"/>
          <w:sz w:val="20"/>
        </w:rPr>
        <w:br/>
        <w:t>• Leveraged a data-driven mindset and advanced analytical methodologies—previously applied in retail operations—to drive sales optimization, revenue analysis, and improved market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