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and reconcile marketing and audience measurement datasets, ensuring data quality for performance tracking equivalent to industry standards like Nielsen or comScore.</w:t>
        <w:br/>
      </w:r>
    </w:p>
    <w:p>
      <w:r>
        <w:rPr>
          <w:rFonts w:ascii="Times New Roman" w:hAnsi="Times New Roman"/>
          <w:sz w:val="20"/>
        </w:rPr>
        <w:br/>
        <w:t>• Developed time series models to identify high-value customer segments, applying media analytics principles to measure campaign effectiveness and audience behavior across digital platforms.</w:t>
        <w:br/>
      </w:r>
    </w:p>
    <w:p>
      <w:r>
        <w:rPr>
          <w:rFonts w:ascii="Times New Roman" w:hAnsi="Times New Roman"/>
          <w:sz w:val="20"/>
        </w:rPr>
        <w:br/>
        <w:t>• Collaborated with marketing teams to translate raw measurement data and campaign performance metrics into actionable insights, bridging the gap between technical data outputs and business strategy.</w:t>
        <w:br/>
      </w:r>
    </w:p>
    <w:p>
      <w:r>
        <w:rPr>
          <w:rFonts w:ascii="Times New Roman" w:hAnsi="Times New Roman"/>
          <w:sz w:val="20"/>
        </w:rPr>
        <w:br/>
        <w:t>• Built end-to-end ETL pipelines to ingest and transform large-scale multi-source data, supporting cross-platform audience measurement and reporting consistency.</w:t>
        <w:br/>
      </w:r>
    </w:p>
    <w:p>
      <w:r>
        <w:rPr>
          <w:rFonts w:ascii="Times New Roman" w:hAnsi="Times New Roman"/>
          <w:sz w:val="20"/>
        </w:rPr>
        <w:br/>
        <w:t>• Performed exploratory data analysis on complex datasets to track shifts in audience engagement, documenting methodology changes to ensure stakeholder alignment and accurate performance attribution.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