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robust ETL pipelines using Python and SQL, incorporating Apache Airflow for workflow orchestration to ensure automated data quality and validation.</w:t>
        <w:br/>
      </w:r>
    </w:p>
    <w:p>
      <w:r>
        <w:rPr>
          <w:rFonts w:ascii="Times New Roman" w:hAnsi="Times New Roman"/>
          <w:sz w:val="20"/>
        </w:rPr>
        <w:br/>
        <w:t>• Applied machine learning libraries including Scikit-learn, XGBoost, and LightGBM to perform predictive modeling, significantly improving the accuracy of customer churn and loan default forecasts.</w:t>
        <w:br/>
      </w:r>
    </w:p>
    <w:p>
      <w:r>
        <w:rPr>
          <w:rFonts w:ascii="Times New Roman" w:hAnsi="Times New Roman"/>
          <w:sz w:val="20"/>
        </w:rPr>
        <w:br/>
        <w:t>• Collaborated within an Agile framework using JIRA and Confluence to manage high-impact data projects, ensuring continuous delivery of actionable insights for cross-functional stakeholders.</w:t>
        <w:br/>
      </w:r>
    </w:p>
    <w:p>
      <w:r>
        <w:rPr>
          <w:rFonts w:ascii="Times New Roman" w:hAnsi="Times New Roman"/>
          <w:sz w:val="20"/>
        </w:rPr>
        <w:br/>
        <w:t>• Processed large-scale unstructured datasets using NLP techniques to extract key metadata, enabling enhanced market intelligence and data-driven strategic planning.</w:t>
        <w:br/>
      </w:r>
    </w:p>
    <w:p>
      <w:r>
        <w:rPr>
          <w:rFonts w:ascii="Times New Roman" w:hAnsi="Times New Roman"/>
          <w:sz w:val="20"/>
        </w:rPr>
        <w:br/>
        <w:t>• Integrated multi-source data across cloud platforms, including AWS and NoSQL databases, to build scalable data models that support real-time team analytics.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