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complex business models in Google Sheets for capacity planning and demand forecasting, enabling data-driven headcount decisions and resource allocation.</w:t>
        <w:br/>
      </w:r>
    </w:p>
    <w:p>
      <w:r>
        <w:rPr>
          <w:rFonts w:ascii="Times New Roman" w:hAnsi="Times New Roman"/>
          <w:sz w:val="20"/>
        </w:rPr>
        <w:br/>
        <w:t>• Conducted cost-to-serve analysis by mapping operational workflows to financial outcomes, identifying efficiency gaps and recommending strategies to reduce overhead.</w:t>
        <w:br/>
      </w:r>
    </w:p>
    <w:p>
      <w:r>
        <w:rPr>
          <w:rFonts w:ascii="Times New Roman" w:hAnsi="Times New Roman"/>
          <w:sz w:val="20"/>
        </w:rPr>
        <w:br/>
        <w:t>• Collaborated with finance stakeholders to align operational metrics with annual planning processes, ensuring CX performance tracking matched key business unit economics.</w:t>
        <w:br/>
      </w:r>
    </w:p>
    <w:p>
      <w:r>
        <w:rPr>
          <w:rFonts w:ascii="Times New Roman" w:hAnsi="Times New Roman"/>
          <w:sz w:val="20"/>
        </w:rPr>
        <w:br/>
        <w:t>• Spearheaded the implementation and ROI tracking of AI-driven automation initiatives, quantifying productivity gains and reduction in cycle times across customer-facing workflows.</w:t>
        <w:br/>
      </w:r>
    </w:p>
    <w:p>
      <w:r>
        <w:rPr>
          <w:rFonts w:ascii="Times New Roman" w:hAnsi="Times New Roman"/>
          <w:sz w:val="20"/>
        </w:rPr>
        <w:br/>
        <w:t>• Utilized sensitivity analysis within operational models to evaluate business trade-offs and project long-range impacts of process improvements on service delivery.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