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agentic AI workflows and LLM-based tools to automate data extraction, significantly reducing time spent on recurring research and analytical tasks.</w:t>
        <w:br/>
      </w:r>
    </w:p>
    <w:p>
      <w:r>
        <w:rPr>
          <w:rFonts w:ascii="Times New Roman" w:hAnsi="Times New Roman"/>
          <w:sz w:val="20"/>
        </w:rPr>
        <w:br/>
        <w:t>• Engineered prompt-based pipelines to parse unstructured financial datasets, enabling systematic valuation analysis and more effective screening of investment opportunities.</w:t>
        <w:br/>
      </w:r>
    </w:p>
    <w:p>
      <w:r>
        <w:rPr>
          <w:rFonts w:ascii="Times New Roman" w:hAnsi="Times New Roman"/>
          <w:sz w:val="20"/>
        </w:rPr>
        <w:br/>
        <w:t>• Integrated multi-step reasoning chains into Python-based automation tools to deliver structured, high-quality financial insights that directly supported team-wide investment research.</w:t>
        <w:br/>
      </w:r>
    </w:p>
    <w:p>
      <w:r>
        <w:rPr>
          <w:rFonts w:ascii="Times New Roman" w:hAnsi="Times New Roman"/>
          <w:sz w:val="20"/>
        </w:rPr>
        <w:br/>
        <w:t>• Collaborated with investment analysts to translate complex research objectives into functional prototypes, ensuring high adoption rates for new analytical infrastructure.</w:t>
        <w:br/>
      </w:r>
    </w:p>
    <w:p>
      <w:r>
        <w:rPr>
          <w:rFonts w:ascii="Times New Roman" w:hAnsi="Times New Roman"/>
          <w:sz w:val="20"/>
        </w:rPr>
        <w:br/>
        <w:t>• Applied foundational knowledge of financial markets and equity research to validate AI model outputs, ensuring that automated screening tools align with rigorous investment quality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