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comprehensive functional specifications and technical requirements for software features, collaborating with product teams to align deliverables with business objectives within an Agile/Scrum framework.</w:t>
        <w:br/>
      </w:r>
    </w:p>
    <w:p>
      <w:r>
        <w:rPr>
          <w:rFonts w:ascii="Times New Roman" w:hAnsi="Times New Roman"/>
          <w:sz w:val="20"/>
        </w:rPr>
        <w:br/>
        <w:t>• Utilized Jupyter Notebooks for exploratory data analysis (EDA) and iterative modeling, processing large datasets to identify suspicious patterns indicative of potential fraud or policy non-compliance.</w:t>
        <w:br/>
      </w:r>
    </w:p>
    <w:p>
      <w:r>
        <w:rPr>
          <w:rFonts w:ascii="Times New Roman" w:hAnsi="Times New Roman"/>
          <w:sz w:val="20"/>
        </w:rPr>
        <w:br/>
        <w:t>• Leveraged experience in SaaS architecture and web-based product delivery to optimize internal workflows, ensuring scalable solutions that meet complex regulatory and compliance standards.</w:t>
        <w:br/>
      </w:r>
    </w:p>
    <w:p>
      <w:r>
        <w:rPr>
          <w:rFonts w:ascii="Times New Roman" w:hAnsi="Times New Roman"/>
          <w:sz w:val="20"/>
        </w:rPr>
        <w:br/>
        <w:t>• Applied rigorous analytical techniques to loan portfolio datasets to detect anomalies, effectively acting as an AML (Anti-Money Laundering) analyst to identify high-risk borrower behaviors.</w:t>
        <w:br/>
      </w:r>
    </w:p>
    <w:p>
      <w:r>
        <w:rPr>
          <w:rFonts w:ascii="Times New Roman" w:hAnsi="Times New Roman"/>
          <w:sz w:val="20"/>
        </w:rPr>
        <w:br/>
        <w:t>• Managed project lifecycles using JIRA and Confluence to document functional requirements and track sprint progress, ensuring adherence to Agile project timelines and proactive resolution of technical blockers.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