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Translated complex technical findings into executive-level PowerPoint presentations and leadership readouts to guide strategic decision-making.</w:t>
        <w:br/>
      </w:r>
    </w:p>
    <w:p>
      <w:r>
        <w:rPr>
          <w:rFonts w:ascii="Times New Roman" w:hAnsi="Times New Roman"/>
          <w:sz w:val="20"/>
        </w:rPr>
        <w:br/>
        <w:t>• Authored detailed process documentation and Standard Operating Procedures (SOPs) for non-engineering stakeholders to streamline operational workflows and ensure data consistency.</w:t>
        <w:br/>
      </w:r>
    </w:p>
    <w:p>
      <w:r>
        <w:rPr>
          <w:rFonts w:ascii="Times New Roman" w:hAnsi="Times New Roman"/>
          <w:sz w:val="20"/>
        </w:rPr>
        <w:br/>
        <w:t>• Supported organizational leadership with recurring data pulls and narrative-driven summaries, transforming raw metrics into actionable business updates.</w:t>
        <w:br/>
      </w:r>
    </w:p>
    <w:p>
      <w:r>
        <w:rPr>
          <w:rFonts w:ascii="Times New Roman" w:hAnsi="Times New Roman"/>
          <w:sz w:val="20"/>
        </w:rPr>
        <w:br/>
        <w:t>• Maintained and optimized department-wide dashboards, ensuring stakeholder access to key metrics while managing data governance protocols to preserve reporting accuracy.</w:t>
        <w:br/>
      </w:r>
    </w:p>
    <w:p>
      <w:r>
        <w:rPr>
          <w:rFonts w:ascii="Times New Roman" w:hAnsi="Times New Roman"/>
          <w:sz w:val="20"/>
        </w:rPr>
        <w:br/>
        <w:t>• Relocated to New York, NY, with full availability for 5-day onsite collaboration to drive cross-functional alignment and real-time project support.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