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applied machine learning techniques to loan portfolio data, utilizing Python to evaluate risk factors and optimize decision-making parameters.</w:t>
        <w:br/>
      </w:r>
    </w:p>
    <w:p>
      <w:r>
        <w:rPr>
          <w:rFonts w:ascii="Times New Roman" w:hAnsi="Times New Roman"/>
          <w:sz w:val="20"/>
        </w:rPr>
        <w:br/>
        <w:t>• Designed and executed rigorous A/B testing frameworks to validate marketing initiatives, employing causal inference to measure true impact and refine customer acquisition strategies.</w:t>
        <w:br/>
      </w:r>
    </w:p>
    <w:p>
      <w:r>
        <w:rPr>
          <w:rFonts w:ascii="Times New Roman" w:hAnsi="Times New Roman"/>
          <w:sz w:val="20"/>
        </w:rPr>
        <w:br/>
        <w:t>• Implemented advanced statistical analysis and time series modeling to optimize real-time operational workflows, leveraging numerical analysis to identify and mitigate process bottlenecks.</w:t>
        <w:br/>
      </w:r>
    </w:p>
    <w:p>
      <w:r>
        <w:rPr>
          <w:rFonts w:ascii="Times New Roman" w:hAnsi="Times New Roman"/>
          <w:sz w:val="20"/>
        </w:rPr>
        <w:br/>
        <w:t>• Integrated Large Language Models (LLMs) into internal research workflows to automate data documentation, significantly increasing the efficiency of cross-functional team collaboration.</w:t>
        <w:br/>
      </w:r>
    </w:p>
    <w:p>
      <w:r>
        <w:rPr>
          <w:rFonts w:ascii="Times New Roman" w:hAnsi="Times New Roman"/>
          <w:sz w:val="20"/>
        </w:rPr>
        <w:br/>
        <w:t>• Applied mathematical modeling and linear algebra principles to large-scale datasets, ensuring the accuracy and scalability of algorithms for high-frequency data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