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internal APIs and automated data pipelines using Python and Docker to containerize services, ensuring consistent deployment across environments.</w:t>
        <w:br/>
      </w:r>
    </w:p>
    <w:p>
      <w:r>
        <w:rPr>
          <w:rFonts w:ascii="Times New Roman" w:hAnsi="Times New Roman"/>
          <w:sz w:val="20"/>
        </w:rPr>
        <w:br/>
        <w:t>• Built internal reporting tools using React and TypeScript to visualize complex datasets, reducing dependency on external BI software by 30%.</w:t>
        <w:br/>
      </w:r>
    </w:p>
    <w:p>
      <w:r>
        <w:rPr>
          <w:rFonts w:ascii="Times New Roman" w:hAnsi="Times New Roman"/>
          <w:sz w:val="20"/>
        </w:rPr>
        <w:br/>
        <w:t>• Developed LLM-driven automation scripts utilizing OpenAI API integrations and prompt design patterns to streamline documentation and ticketing workflows in JIRA.</w:t>
        <w:br/>
      </w:r>
    </w:p>
    <w:p>
      <w:r>
        <w:rPr>
          <w:rFonts w:ascii="Times New Roman" w:hAnsi="Times New Roman"/>
          <w:sz w:val="20"/>
        </w:rPr>
        <w:br/>
        <w:t>• Implemented automated data orchestration using Airflow workflows to manage ETL processes, increasing data reliability and reducing manual intervention by 40%.</w:t>
        <w:br/>
      </w:r>
    </w:p>
    <w:p>
      <w:r>
        <w:rPr>
          <w:rFonts w:ascii="Times New Roman" w:hAnsi="Times New Roman"/>
          <w:sz w:val="20"/>
        </w:rPr>
        <w:br/>
        <w:t>• Leveraged AI-assisted development tools like Cursor to accelerate code refactoring and technical documentation, enhancing delivery speed of internal automation tools.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