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custom rep-facing tooling and internal dashboards to optimize SDR workflows, reducing manual entry time and accelerating the sales cycle.</w:t>
        <w:br/>
      </w:r>
    </w:p>
    <w:p>
      <w:r>
        <w:rPr>
          <w:rFonts w:ascii="Times New Roman" w:hAnsi="Times New Roman"/>
          <w:sz w:val="20"/>
        </w:rPr>
        <w:br/>
        <w:t>• Built and deployed end-to-end data pipelines using Python and SQL to track conversion metrics from cold outbound leads to closed-won revenue, providing full-funnel visibility.</w:t>
        <w:br/>
      </w:r>
    </w:p>
    <w:p>
      <w:r>
        <w:rPr>
          <w:rFonts w:ascii="Times New Roman" w:hAnsi="Times New Roman"/>
          <w:sz w:val="20"/>
        </w:rPr>
        <w:br/>
        <w:t>• Streamlined GTM operations by automating lead-routing and attribution workflows, enabling sales teams to focus on high-intent prospects.</w:t>
        <w:br/>
      </w:r>
    </w:p>
    <w:p>
      <w:r>
        <w:rPr>
          <w:rFonts w:ascii="Times New Roman" w:hAnsi="Times New Roman"/>
          <w:sz w:val="20"/>
        </w:rPr>
        <w:br/>
        <w:t>• Applied a 'scrappy 40% solution' methodology to prototype internal tools, iterating rapidly based on user feedback to drive immediate operational impact.</w:t>
        <w:br/>
      </w:r>
    </w:p>
    <w:p>
      <w:r>
        <w:rPr>
          <w:rFonts w:ascii="Times New Roman" w:hAnsi="Times New Roman"/>
          <w:sz w:val="20"/>
        </w:rPr>
        <w:br/>
        <w:t>• Integrated CI/CD practices and Git-based version control into development workflows to ensure rapid, stable deployment of business-critical 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