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web analytics measurement frameworks for digital properties, utilizing GA4 and GTM to track user behavior and define cross-functional tracking requirements.</w:t>
        <w:br/>
      </w:r>
    </w:p>
    <w:p>
      <w:r>
        <w:rPr>
          <w:rFonts w:ascii="Times New Roman" w:hAnsi="Times New Roman"/>
          <w:sz w:val="20"/>
        </w:rPr>
        <w:br/>
        <w:t>• Led A/B testing and conversion analysis initiatives to optimize site performance, identifying data quality issues and driving resolution across technical and non-technical teams.</w:t>
        <w:br/>
      </w:r>
    </w:p>
    <w:p>
      <w:r>
        <w:rPr>
          <w:rFonts w:ascii="Times New Roman" w:hAnsi="Times New Roman"/>
          <w:sz w:val="20"/>
        </w:rPr>
        <w:br/>
        <w:t>• Leveraged expertise in Google Analytics and tag management systems to monitor digital marketing funnels, improving paid media attribution and SEO visibility.</w:t>
        <w:br/>
      </w:r>
    </w:p>
    <w:p>
      <w:r>
        <w:rPr>
          <w:rFonts w:ascii="Times New Roman" w:hAnsi="Times New Roman"/>
          <w:sz w:val="20"/>
        </w:rPr>
        <w:br/>
        <w:t>• Collaborated with product and marketing teams to translate complex web data into actionable business recommendations and storytelling-driven reports for non-technical stakeholders.</w:t>
        <w:br/>
      </w:r>
    </w:p>
    <w:p>
      <w:r>
        <w:rPr>
          <w:rFonts w:ascii="Times New Roman" w:hAnsi="Times New Roman"/>
          <w:sz w:val="20"/>
        </w:rPr>
        <w:br/>
        <w:t>• Managed e-commerce data architecture and performance reporting, ensuring high data quality through consistent monitoring and resolution of tracking discrepancies.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