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SQL, Python (Pandas, ETL Pipelines, Automation), R, Git, PostgreSQL, MySQL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AWS (S3), Snowflake, BigQuery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Tableau, Power BI, Advanced Excel (Pivot Tables, VLOOKUP)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Microsoft Office/Google Suite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AI Tools: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ChatGPT, Claude, Gemini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 Certificate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Marketing Analytics: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Customer Segmentation, Campaign Measurement, Google Analytics, Salesforce CRM</w:t>
      </w:r>
    </w:p>
    <w:p w:rsidR="00000000" w:rsidDel="00000000" w:rsidP="00000000" w:rsidRDefault="00000000" w:rsidRPr="00000000" w14:paraId="0000000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 | New York, NY</w:t>
        <w:tab/>
        <w:t xml:space="preserve">  March 2024 - April 2026</w:t>
      </w:r>
    </w:p>
    <w:p w:rsidR="00000000" w:rsidDel="00000000" w:rsidP="00000000" w:rsidRDefault="00000000" w:rsidRPr="00000000" w14:paraId="0000001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Analyst &amp; Operations Lead</w:t>
        <w:tab/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interactive Power BI dashboards to replace manual reporting, improving KPI visibility, reducing data processing time by 40%, and accelerating executive decision-making.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Streamlined client onboarding by automating scheduling and intake workflows via Zapier, saving 8 hours per week and reallocating resources toward lead generation and customer acquisition.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operations by translating complex performance data into clear insights, reducing process bottlenecks and improving team efficiency by 25%.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Created time series models to identify high-value customer segments; targeted marketing initiatives informed by these models contributed to a 300% increase in new customer acquisition over 12 months.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Documented SOPs for operational workflows, reducing new hire onboarding time by 50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%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and ensuring consistency in service delivery. </w:t>
      </w:r>
    </w:p>
    <w:p w:rsidR="00000000" w:rsidDel="00000000" w:rsidP="00000000" w:rsidRDefault="00000000" w:rsidRPr="00000000" w14:paraId="00000017">
      <w:pPr>
        <w:widowControl w:val="0"/>
        <w:spacing w:line="230.1815128326416" w:lineRule="auto"/>
        <w:ind w:left="720" w:right="3.209228515625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 | New York, NY</w:t>
        <w:tab/>
        <w:t xml:space="preserve"> January 2023 - September 2023</w:t>
      </w:r>
    </w:p>
    <w:p w:rsidR="00000000" w:rsidDel="00000000" w:rsidP="00000000" w:rsidRDefault="00000000" w:rsidRPr="00000000" w14:paraId="0000001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cross-functionally with several departments including Underwriting, Product and UI/UX teams to align software features with business objectives, reducing project delivery delays by 25%.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relational database queries (CTEs, window functions, joins) to clean and reconcile insurance testing data, improving data accuracy by 30%.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Managed documentation and ticket tracking using JIRA and Confluence to assist team alignment and on-time project delivery.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Integrated data from multiple sources including APIs and PostgreSQL databases to build unified schemas, streamlining development by providing engineers with clean, reliable, and well-documented data structures.</w:t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Git for version control to manage collaborative code updates, ensuring project stability and seamless team deployments.</w:t>
      </w:r>
    </w:p>
    <w:p w:rsidR="00000000" w:rsidDel="00000000" w:rsidP="00000000" w:rsidRDefault="00000000" w:rsidRPr="00000000" w14:paraId="0000001F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2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Lending Risk Portfolio Analysis Project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January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2M+ row loan portfolio to identify borrower and loan characteristics most associated with default risk. 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 PostgreSQL data model for lending data (150+ columns), creating borrower, loan, credit profile, delinquency, and public-record dimensions to support risk analysis. </w:t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an end-to-end ETL pipeline using Python and SQL to transform raw loan data into analytics-ready tables, including handling missing values, type casting, and validation checks.</w:t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Wrote complex SQL queries to calculate credit risk metrics, including utilization ratios and delinquency rates.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Performed exploratory data analysis (EDA) to uncover relationships between borrower characteristics and default risk, enabling segmentation of high-risk borrower populations. </w:t>
      </w:r>
    </w:p>
    <w:p w:rsidR="00000000" w:rsidDel="00000000" w:rsidP="00000000" w:rsidRDefault="00000000" w:rsidRPr="00000000" w14:paraId="0000002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September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250K+ row dataset using Pandas and NumPy to identify demographic and geographic patterns through population segmentation methods to support crime prevention strategies.</w:t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to provide self-service access for stakeholders, visualizing arrests by location, time, and offense type.</w:t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standardized dataset columns to ensure accuracy and support reliable data analysis.</w:t>
      </w:r>
    </w:p>
    <w:p w:rsidR="00000000" w:rsidDel="00000000" w:rsidP="00000000" w:rsidRDefault="00000000" w:rsidRPr="00000000" w14:paraId="0000002E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Delivered a data storytelling presentation and report to translate statistical insights into actionable recommendations, supporting informed decision-making for city safety initiatives.</w:t>
      </w:r>
    </w:p>
    <w:p w:rsidR="00000000" w:rsidDel="00000000" w:rsidP="00000000" w:rsidRDefault="00000000" w:rsidRPr="00000000" w14:paraId="0000002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3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  <w:tab/>
        <w:t xml:space="preserve">August 2025 - December 2025</w:t>
      </w:r>
    </w:p>
    <w:p w:rsidR="00000000" w:rsidDel="00000000" w:rsidP="00000000" w:rsidRDefault="00000000" w:rsidRPr="00000000" w14:paraId="0000003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</w:p>
    <w:p w:rsidR="00000000" w:rsidDel="00000000" w:rsidP="00000000" w:rsidRDefault="00000000" w:rsidRPr="00000000" w14:paraId="00000033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pacing w:line="229.88847255706787" w:lineRule="auto"/>
        <w:ind w:left="2.20001220703125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  <w:tab/>
        <w:tab/>
        <w:tab/>
        <w:tab/>
        <w:tab/>
        <w:tab/>
        <w:tab/>
        <w:tab/>
        <w:tab/>
        <w:tab/>
        <w:tab/>
        <w:t xml:space="preserve">                December 2022</w:t>
      </w:r>
    </w:p>
    <w:p w:rsidR="00000000" w:rsidDel="00000000" w:rsidP="00000000" w:rsidRDefault="00000000" w:rsidRPr="00000000" w14:paraId="0000003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Orchestrated global scheduling for C-suite executives, including complex cross-timezone coordination for stakeholders across international offices to ensure seamless meeting attendance.</w:t>
        <w:br/>
      </w:r>
    </w:p>
    <w:p>
      <w:r>
        <w:rPr>
          <w:rFonts w:ascii="Times New Roman" w:hAnsi="Times New Roman"/>
          <w:sz w:val="20"/>
        </w:rPr>
        <w:br/>
        <w:t>• Acted as a primary cross-functional liaison, facilitating high-level communication between executive leadership and departments including Legal, Product, and Engineering to streamline project workflows.</w:t>
        <w:br/>
      </w:r>
    </w:p>
    <w:p>
      <w:r>
        <w:rPr>
          <w:rFonts w:ascii="Times New Roman" w:hAnsi="Times New Roman"/>
          <w:sz w:val="20"/>
        </w:rPr>
        <w:br/>
        <w:t>• Managed end-to-end executive expense workflows, including monthly reconciliation of business expenditures, credit card auditing, and budget tracking for startup-level cost management.</w:t>
        <w:br/>
      </w:r>
    </w:p>
    <w:p>
      <w:r>
        <w:rPr>
          <w:rFonts w:ascii="Times New Roman" w:hAnsi="Times New Roman"/>
          <w:sz w:val="20"/>
        </w:rPr>
        <w:br/>
        <w:t>• Leveraged fast-paced startup experience to pivot quickly between operational priorities, providing proactive support to diverse teams including technical stakeholders in Engineering and Product.</w:t>
        <w:br/>
      </w:r>
    </w:p>
    <w:p>
      <w:r>
        <w:rPr>
          <w:rFonts w:ascii="Times New Roman" w:hAnsi="Times New Roman"/>
          <w:sz w:val="20"/>
        </w:rPr>
        <w:br/>
        <w:t>• Directed administrative operations for a high-growth environment, serving as the central point of contact for external partners and internal stakeholders to ensure alignment on company-wide objectives.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credit-risk-lending-analysis-project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