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version control and CI/CD best practices using Git to manage automated deployment scripts, ensuring project stability and seamless team updates.</w:t>
        <w:br/>
      </w:r>
    </w:p>
    <w:p>
      <w:r>
        <w:rPr>
          <w:rFonts w:ascii="Times New Roman" w:hAnsi="Times New Roman"/>
          <w:sz w:val="20"/>
        </w:rPr>
        <w:br/>
        <w:t>• Engineered scalable ETL pipelines using Python and SQL, while establishing orchestration workflows to ensure high-frequency, reliable data processing.</w:t>
        <w:br/>
      </w:r>
    </w:p>
    <w:p>
      <w:r>
        <w:rPr>
          <w:rFonts w:ascii="Times New Roman" w:hAnsi="Times New Roman"/>
          <w:sz w:val="20"/>
        </w:rPr>
        <w:br/>
        <w:t>• Applied foundational AI frameworks and library integrations to prototype autonomous workflows, focusing on building structured, reliable data outputs for predictive analytics.</w:t>
        <w:br/>
      </w:r>
    </w:p>
    <w:p>
      <w:r>
        <w:rPr>
          <w:rFonts w:ascii="Times New Roman" w:hAnsi="Times New Roman"/>
          <w:sz w:val="20"/>
        </w:rPr>
        <w:br/>
        <w:t>• Leveraged cloud-native development environments (including Docker) to containerize applications, enhancing environment consistency and cross-team deployment efficiency.</w:t>
        <w:br/>
      </w:r>
    </w:p>
    <w:p>
      <w:r>
        <w:rPr>
          <w:rFonts w:ascii="Times New Roman" w:hAnsi="Times New Roman"/>
          <w:sz w:val="20"/>
        </w:rPr>
        <w:br/>
        <w:t>• Analyzed complex financial datasets to provide actionable insights, applying domain knowledge to bridge the gap between technical data modeling and strategic business consulting.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