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Demonstrated excellent judgment and resourcefulness by independently resolving complex scheduling conflicts for C-suite executives, ensuring seamless business continuity and stakeholder satisfaction.</w:t>
        <w:br/>
      </w:r>
    </w:p>
    <w:p>
      <w:r>
        <w:rPr>
          <w:rFonts w:ascii="Times New Roman" w:hAnsi="Times New Roman"/>
          <w:sz w:val="20"/>
        </w:rPr>
        <w:br/>
        <w:t>• Cultivated a highly professional presence in all communications, serving as an informed deputy for senior partners by facilitating polished and accurate interactions with high-profile clients via telephone, email, and virtual platforms.</w:t>
        <w:br/>
      </w:r>
    </w:p>
    <w:p>
      <w:r>
        <w:rPr>
          <w:rFonts w:ascii="Times New Roman" w:hAnsi="Times New Roman"/>
          <w:sz w:val="20"/>
        </w:rPr>
        <w:br/>
        <w:t>• Took full ownership of administrative end-products, consistently delivering error-free documentation and reports through meticulous proofreading and rapid, accurate typing for senior leadership.</w:t>
        <w:br/>
      </w:r>
    </w:p>
    <w:p>
      <w:r>
        <w:rPr>
          <w:rFonts w:ascii="Times New Roman" w:hAnsi="Times New Roman"/>
          <w:sz w:val="20"/>
        </w:rPr>
        <w:br/>
        <w:t>• Managed comprehensive firm-wide financial administrative tasks, including precise tracking of timesheets, expense reconciliation, and monitoring of client accounting statements to ensure adherence to strict firm deadlines.</w:t>
        <w:br/>
      </w:r>
    </w:p>
    <w:p>
      <w:r>
        <w:rPr>
          <w:rFonts w:ascii="Times New Roman" w:hAnsi="Times New Roman"/>
          <w:sz w:val="20"/>
        </w:rPr>
        <w:br/>
        <w:t>• Exhibited a proactive mindset by anticipating senior partner needs and independently managing projects, resulting in optimized workflow efficiency and increased capacity for executive-level strategic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