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deployed production-grade ELT pipelines in GCP, focusing on system scalability and reliability while monitoring data quality metrics to ensure seamless model inference.</w:t>
        <w:br/>
      </w:r>
    </w:p>
    <w:p>
      <w:r>
        <w:rPr>
          <w:rFonts w:ascii="Times New Roman" w:hAnsi="Times New Roman"/>
          <w:sz w:val="20"/>
        </w:rPr>
        <w:br/>
        <w:t>• Engineered automated model evaluation workflows using Python and Great Expectations, ensuring high-quality, production-ready outputs for data-intensive downstream ML systems.</w:t>
        <w:br/>
      </w:r>
    </w:p>
    <w:p>
      <w:r>
        <w:rPr>
          <w:rFonts w:ascii="Times New Roman" w:hAnsi="Times New Roman"/>
          <w:sz w:val="20"/>
        </w:rPr>
        <w:br/>
        <w:t>• Integrated RESTful API data sources into scalable machine learning workflows, applying software engineering best practices for robust error handling and system-level monitoring.</w:t>
        <w:br/>
      </w:r>
    </w:p>
    <w:p>
      <w:r>
        <w:rPr>
          <w:rFonts w:ascii="Times New Roman" w:hAnsi="Times New Roman"/>
          <w:sz w:val="20"/>
        </w:rPr>
        <w:br/>
        <w:t>• Collaborated on cross-functional software projects, applying foundational MLOps principles to manage CI/CD pipelines via GitHub Actions for consistent deployment cycles.</w:t>
        <w:br/>
      </w:r>
    </w:p>
    <w:p>
      <w:r>
        <w:rPr>
          <w:rFonts w:ascii="Times New Roman" w:hAnsi="Times New Roman"/>
          <w:sz w:val="20"/>
        </w:rPr>
        <w:br/>
        <w:t>• Developed data-driven analytical dashboards using Power BI, translating complex dataset trends into actionable business intelligence that supports AI-driven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