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Utilized digital document management systems to organize and upload sensitive records to databases, similar to EMR/electronic health record protocols, ensuring 100% compliance with confidentiality standards.</w:t>
        <w:br/>
      </w:r>
    </w:p>
    <w:p>
      <w:r>
        <w:rPr>
          <w:rFonts w:ascii="Times New Roman" w:hAnsi="Times New Roman"/>
          <w:sz w:val="20"/>
        </w:rPr>
        <w:br/>
        <w:t>• Managed high-volume communication channels, including secure fax handling and digital document transmission, to facilitate seamless information flow between departments and external vendors.</w:t>
        <w:br/>
      </w:r>
    </w:p>
    <w:p>
      <w:r>
        <w:rPr>
          <w:rFonts w:ascii="Times New Roman" w:hAnsi="Times New Roman"/>
          <w:sz w:val="20"/>
        </w:rPr>
        <w:br/>
        <w:t>• Coordinated end-to-end logistics for high-priority projects and vendor services, demonstrating the organizational capacity required for surgical coordination and patient care scheduling.</w:t>
        <w:br/>
      </w:r>
    </w:p>
    <w:p>
      <w:r>
        <w:rPr>
          <w:rFonts w:ascii="Times New Roman" w:hAnsi="Times New Roman"/>
          <w:sz w:val="20"/>
        </w:rPr>
        <w:br/>
        <w:t>• Demonstrated flexibility in supporting multi-location operations and maintaining a reliable, full-time professional schedule exceeding 40 hours per week.</w:t>
        <w:br/>
      </w:r>
    </w:p>
    <w:p>
      <w:r>
        <w:rPr>
          <w:rFonts w:ascii="Times New Roman" w:hAnsi="Times New Roman"/>
          <w:sz w:val="20"/>
        </w:rPr>
        <w:br/>
        <w:t>• Leveraged bilingual-adjacent communication skills to provide clear, empathetic support to a diverse range of stakeholders and patients in fast-paced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