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Drafted, edited, and proofread executive correspondence and briefing materials, ensuring 100% accuracy in tone, grammar, and alignment with corporate messaging.</w:t>
        <w:br/>
      </w:r>
    </w:p>
    <w:p>
      <w:r>
        <w:rPr>
          <w:rFonts w:ascii="Times New Roman" w:hAnsi="Times New Roman"/>
          <w:sz w:val="20"/>
        </w:rPr>
        <w:br/>
        <w:t>• Established and implemented new office policies and digital filing procedures, which reduced document retrieval time by 50% and standardized operational workflows.</w:t>
        <w:br/>
      </w:r>
    </w:p>
    <w:p>
      <w:r>
        <w:rPr>
          <w:rFonts w:ascii="Times New Roman" w:hAnsi="Times New Roman"/>
          <w:sz w:val="20"/>
        </w:rPr>
        <w:br/>
        <w:t>• Leveraged a strong academic foundation in Speech-Language Pathology to develop high-level written communication and meticulous attention to detail in professional documentation.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