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Spearheaded program operations and community outreach initiatives at Direct Clean Solutions, coordinating logistics for large-scale events and local community programs that drove resident engagement.</w:t>
        <w:br/>
      </w:r>
    </w:p>
    <w:p>
      <w:r>
        <w:rPr>
          <w:rFonts w:ascii="Times New Roman" w:hAnsi="Times New Roman"/>
          <w:sz w:val="20"/>
        </w:rPr>
        <w:br/>
        <w:t>• Managed diverse volunteer and contractor relationships for building operations, mirroring the stakeholder engagement and volunteer management skills required for community development projects.</w:t>
        <w:br/>
      </w:r>
    </w:p>
    <w:p>
      <w:r>
        <w:rPr>
          <w:rFonts w:ascii="Times New Roman" w:hAnsi="Times New Roman"/>
          <w:sz w:val="20"/>
        </w:rPr>
        <w:br/>
        <w:t>• Collaborated with cross-functional teams to execute outreach and partnership development strategies, effectively managing community-focused programs and resource distribution initiatives.</w:t>
        <w:br/>
      </w:r>
    </w:p>
    <w:p>
      <w:r>
        <w:rPr>
          <w:rFonts w:ascii="Times New Roman" w:hAnsi="Times New Roman"/>
          <w:sz w:val="20"/>
        </w:rPr>
        <w:br/>
        <w:t>• Leveraged native proficiency in written and spoken Spanish to facilitate clear, empathetic communication and service delivery with diverse populations and community partners.</w:t>
        <w:br/>
      </w:r>
    </w:p>
    <w:p>
      <w:r>
        <w:rPr>
          <w:rFonts w:ascii="Times New Roman" w:hAnsi="Times New Roman"/>
          <w:sz w:val="20"/>
        </w:rPr>
        <w:br/>
        <w:t>• Maintained a valid driver’s license and flexible schedule, ensuring consistent availability for weekend and evening project requirements and site visits.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