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bilingual (English/Spanish) fluency to facilitate clear communication between executive leadership and diverse stakeholders, ensuring inclusive and accessible professional correspondence.</w:t>
        <w:br/>
      </w:r>
    </w:p>
    <w:p>
      <w:r>
        <w:rPr>
          <w:rFonts w:ascii="Times New Roman" w:hAnsi="Times New Roman"/>
          <w:sz w:val="20"/>
        </w:rPr>
        <w:br/>
        <w:t>• Cultivated strong community and family relationships through proactive customer service, maintaining a welcoming environment that supports the mission of underserved populations.</w:t>
        <w:br/>
      </w:r>
    </w:p>
    <w:p>
      <w:r>
        <w:rPr>
          <w:rFonts w:ascii="Times New Roman" w:hAnsi="Times New Roman"/>
          <w:sz w:val="20"/>
        </w:rPr>
        <w:br/>
        <w:t>• Applied extensive administrative expertise within mission-driven environments, managing sensitive communications and cross-functional workflows with discretion and empathy.</w:t>
        <w:br/>
      </w:r>
    </w:p>
    <w:p>
      <w:r>
        <w:rPr>
          <w:rFonts w:ascii="Times New Roman" w:hAnsi="Times New Roman"/>
          <w:sz w:val="20"/>
        </w:rPr>
        <w:br/>
        <w:t>• Managed high-volume multi-line phone systems and electronic communications, consistently providing professional, student-centered support to internal and external partners.</w:t>
        <w:br/>
      </w:r>
    </w:p>
    <w:p>
      <w:r>
        <w:rPr>
          <w:rFonts w:ascii="Times New Roman" w:hAnsi="Times New Roman"/>
          <w:sz w:val="20"/>
        </w:rPr>
        <w:br/>
        <w:t>• Proactively obtained and maintained all required state-level background clearances and compliance documentation to ensure seamless operational support in regulated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