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Coordinate comprehensive transportation and logistics for domestic and international travel, ensuring seamless door-to-door itineraries for C-suite executives.</w:t>
        <w:br/>
      </w:r>
    </w:p>
    <w:p>
      <w:r>
        <w:rPr>
          <w:rFonts w:ascii="Times New Roman" w:hAnsi="Times New Roman"/>
          <w:sz w:val="20"/>
        </w:rPr>
        <w:br/>
        <w:t>• Act as a strategic cross-functional liaison, effectively bridging communication between the CEO and internal departments to drive operational efficiency in this part-time capacity.</w:t>
        <w:br/>
      </w:r>
    </w:p>
    <w:p>
      <w:r>
        <w:rPr>
          <w:rFonts w:ascii="Times New Roman" w:hAnsi="Times New Roman"/>
          <w:sz w:val="20"/>
        </w:rPr>
        <w:br/>
        <w:t>• Leverage 10+ years of executive support experience, including a proven track record of managing complex schedules and confidential projects, to transition into this 20-hour/week executive partnership.</w:t>
        <w:br/>
      </w:r>
    </w:p>
    <w:p>
      <w:r>
        <w:rPr>
          <w:rFonts w:ascii="Times New Roman" w:hAnsi="Times New Roman"/>
          <w:sz w:val="20"/>
        </w:rPr>
        <w:br/>
        <w:t>• Utilize advanced administrative expertise to manage all aspects of the CEO’s office, including off-site meeting planning and logistics for required weekly travel to the Philadelphia/Newark area.</w:t>
        <w:br/>
      </w:r>
    </w:p>
    <w:p>
      <w:r>
        <w:rPr>
          <w:rFonts w:ascii="Times New Roman" w:hAnsi="Times New Roman"/>
          <w:sz w:val="20"/>
        </w:rPr>
        <w:br/>
        <w:t>• Apply background in Bachelor-level research and data analysis to prepare high-level reports and presentations that support the CEO’s strategic business goals.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