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documented end-to-end business process models using BPMN standards to visualize workflows, identifying bottlenecks that reduced operational inefficiency by 25%.</w:t>
        <w:br/>
      </w:r>
    </w:p>
    <w:p>
      <w:r>
        <w:rPr>
          <w:rFonts w:ascii="Times New Roman" w:hAnsi="Times New Roman"/>
          <w:sz w:val="20"/>
        </w:rPr>
        <w:br/>
        <w:t>• Performed data profiling and lineage mapping of operational datasets to validate process mining models, ensuring high data integrity for digital twin simulations.</w:t>
        <w:br/>
      </w:r>
    </w:p>
    <w:p>
      <w:r>
        <w:rPr>
          <w:rFonts w:ascii="Times New Roman" w:hAnsi="Times New Roman"/>
          <w:sz w:val="20"/>
        </w:rPr>
        <w:br/>
        <w:t>• Led requirements gathering workshops with cross-functional stakeholders to define functional User Stories and business logic for automation and AI-driven process improvements.</w:t>
        <w:br/>
      </w:r>
    </w:p>
    <w:p>
      <w:r>
        <w:rPr>
          <w:rFonts w:ascii="Times New Roman" w:hAnsi="Times New Roman"/>
          <w:sz w:val="20"/>
        </w:rPr>
        <w:br/>
        <w:t>• Analyzed process adherence and task execution patterns to identify value-creation opportunities, translating findings into actionable KPI control towers for executive visibility.</w:t>
        <w:br/>
      </w:r>
    </w:p>
    <w:p>
      <w:r>
        <w:rPr>
          <w:rFonts w:ascii="Times New Roman" w:hAnsi="Times New Roman"/>
          <w:sz w:val="20"/>
        </w:rPr>
        <w:br/>
        <w:t>• Applied systems thinking and Business Enterprise Architecture (BEA) principles to align departmental workflows with organizational goals, ensuring scalability in data integration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