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schemas and data pipelines, integrating LLM-based API workflows to enhance feature engineering and data extraction efficiency by 15%.</w:t>
        <w:br/>
      </w:r>
    </w:p>
    <w:p>
      <w:r>
        <w:rPr>
          <w:rFonts w:ascii="Times New Roman" w:hAnsi="Times New Roman"/>
          <w:sz w:val="20"/>
        </w:rPr>
        <w:br/>
        <w:t>• Developed automated evaluation frameworks to assess data quality and model output consistency, incorporating human-in-the-loop validation patterns to ensure ground-truth accuracy.</w:t>
        <w:br/>
      </w:r>
    </w:p>
    <w:p>
      <w:r>
        <w:rPr>
          <w:rFonts w:ascii="Times New Roman" w:hAnsi="Times New Roman"/>
          <w:sz w:val="20"/>
        </w:rPr>
        <w:br/>
        <w:t>• Engineered agentic-style automated scripts in Python to process and clean unstructured data, simulating AI-driven workflows for downstream predictive modeling.</w:t>
        <w:br/>
      </w:r>
    </w:p>
    <w:p>
      <w:r>
        <w:rPr>
          <w:rFonts w:ascii="Times New Roman" w:hAnsi="Times New Roman"/>
          <w:sz w:val="20"/>
        </w:rPr>
        <w:br/>
        <w:t>• Refined data annotation and labeling processes for internal datasets, applying statistical methods to ensure high-fidelity training data for machine learning models.</w:t>
        <w:br/>
      </w:r>
    </w:p>
    <w:p>
      <w:r>
        <w:rPr>
          <w:rFonts w:ascii="Times New Roman" w:hAnsi="Times New Roman"/>
          <w:sz w:val="20"/>
        </w:rPr>
        <w:br/>
        <w:t>• Designed and tested data-centric workflows to support AI research objectives, focusing on the rigorous evaluation of model performance against established benchmarks.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