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Conducted rigorous peer code reviews for SQL/Python analytics notebooks, providing constructive feedback on logic, complexity, and performance to ensure high-quality, professional-grade outputs.</w:t>
        <w:br/>
      </w:r>
    </w:p>
    <w:p>
      <w:r>
        <w:rPr>
          <w:rFonts w:ascii="Times New Roman" w:hAnsi="Times New Roman"/>
          <w:sz w:val="20"/>
        </w:rPr>
        <w:br/>
        <w:t>• Presented complex data insights to non-technical executive stakeholders, distilling advanced statistical models into clear, actionable business strategies.</w:t>
        <w:br/>
      </w:r>
    </w:p>
    <w:p>
      <w:r>
        <w:rPr>
          <w:rFonts w:ascii="Times New Roman" w:hAnsi="Times New Roman"/>
          <w:sz w:val="20"/>
        </w:rPr>
        <w:br/>
        <w:t>• Delivered project-based data solutions in a remote, asynchronous environment, demonstrating the ability to independently manage project lifecycles and meet high-performance standards.</w:t>
        <w:br/>
      </w:r>
    </w:p>
    <w:p>
      <w:r>
        <w:rPr>
          <w:rFonts w:ascii="Times New Roman" w:hAnsi="Times New Roman"/>
          <w:sz w:val="20"/>
        </w:rPr>
        <w:br/>
        <w:t>• Utilized R for advanced statistical analysis and hypothesis testing, supplementing existing Python workflows to enhance the analytical depth of marketing and operational reporting.</w:t>
        <w:br/>
      </w:r>
    </w:p>
    <w:p>
      <w:r>
        <w:rPr>
          <w:rFonts w:ascii="Times New Roman" w:hAnsi="Times New Roman"/>
          <w:sz w:val="20"/>
        </w:rPr>
        <w:br/>
        <w:t>• Contracted as an independent analytical consultant for data projects, maintaining high productivity and self-directed project delivery on a flexible, outcome-oriented schedule.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