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Performed rigorous data annotation and quality evaluation on complex datasets, ensuring high-fidelity outputs by adhering to strict project rubrics and standardized labeling guidelines.</w:t>
        <w:br/>
      </w:r>
    </w:p>
    <w:p>
      <w:r>
        <w:rPr>
          <w:rFonts w:ascii="Times New Roman" w:hAnsi="Times New Roman"/>
          <w:sz w:val="20"/>
        </w:rPr>
        <w:br/>
        <w:t>• Applied consistent judgment to evaluate large-scale technical and research-oriented datasets, identifying and flagging quality issues to improve model training accuracy.</w:t>
        <w:br/>
      </w:r>
    </w:p>
    <w:p>
      <w:r>
        <w:rPr>
          <w:rFonts w:ascii="Times New Roman" w:hAnsi="Times New Roman"/>
          <w:sz w:val="20"/>
        </w:rPr>
        <w:br/>
        <w:t>• Developed and enforced technical SOPs for data processing, effectively mirroring the rubric-based evaluation approach required for legal and research-domain data validation.</w:t>
        <w:br/>
      </w:r>
    </w:p>
    <w:p>
      <w:r>
        <w:rPr>
          <w:rFonts w:ascii="Times New Roman" w:hAnsi="Times New Roman"/>
          <w:sz w:val="20"/>
        </w:rPr>
        <w:br/>
        <w:t>• Conducted multi-faceted research and data synthesis on high-stakes projects, such as the Lending Risk Portfolio Analysis, requiring precise attention to detail and adherence to regulatory compliance frameworks.</w:t>
        <w:br/>
      </w:r>
    </w:p>
    <w:p>
      <w:r>
        <w:rPr>
          <w:rFonts w:ascii="Times New Roman" w:hAnsi="Times New Roman"/>
          <w:sz w:val="20"/>
        </w:rPr>
        <w:br/>
        <w:t>• Systematically reviewed and cleaned datasets for high-value client projects, ensuring data integrity through manual quality checks and automated validation scripts.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