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Leveraged advanced AI tools (ChatGPT, Claude, Gemini) to research and query complex health-related topics, meticulously documenting saved chat prompts to inform data-driven decision-making workflows.</w:t>
        <w:br/>
      </w:r>
    </w:p>
    <w:p>
      <w:r>
        <w:rPr>
          <w:rFonts w:ascii="Times New Roman" w:hAnsi="Times New Roman"/>
          <w:sz w:val="20"/>
        </w:rPr>
        <w:br/>
        <w:t>• Managed independent data verification processes, ensuring 100% prompt authenticity and compliance with strict quality standards for AI training datasets.</w:t>
        <w:br/>
      </w:r>
    </w:p>
    <w:p>
      <w:r>
        <w:rPr>
          <w:rFonts w:ascii="Times New Roman" w:hAnsi="Times New Roman"/>
          <w:sz w:val="20"/>
        </w:rPr>
        <w:br/>
        <w:t>• Collaborated asynchronously as a contractor to deliver verified prompt submissions, consistently meeting volume-based compensation and performance milestones.</w:t>
        <w:br/>
      </w:r>
    </w:p>
    <w:p>
      <w:r>
        <w:rPr>
          <w:rFonts w:ascii="Times New Roman" w:hAnsi="Times New Roman"/>
          <w:sz w:val="20"/>
        </w:rPr>
        <w:br/>
        <w:t>• Applied data analysis expertise to categorize and evaluate health-related AI chat interactions, translating user inquiries into structured insights for model improvement.</w:t>
        <w:br/>
      </w:r>
    </w:p>
    <w:p>
      <w:r>
        <w:rPr>
          <w:rFonts w:ascii="Times New Roman" w:hAnsi="Times New Roman"/>
          <w:sz w:val="20"/>
        </w:rPr>
        <w:br/>
        <w:t>• Documented systematic workflows for prompt auditing and verification, ensuring that all submissions met rigorous accuracy requirements for high-stakes technical projects.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