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Evaluated complex AI-generated outputs for accuracy and logical rigor, providing structured feedback to cross-functional teams to improve training data quality and model performance.</w:t>
        <w:br/>
      </w:r>
    </w:p>
    <w:p>
      <w:r>
        <w:rPr>
          <w:rFonts w:ascii="Times New Roman" w:hAnsi="Times New Roman"/>
          <w:sz w:val="20"/>
        </w:rPr>
        <w:br/>
        <w:t>• Collaborated with subject matter experts (SMEs) to translate domain-specific business requirements into technical data schemas, ensuring high-fidelity alignment with project goals.</w:t>
        <w:br/>
      </w:r>
    </w:p>
    <w:p>
      <w:r>
        <w:rPr>
          <w:rFonts w:ascii="Times New Roman" w:hAnsi="Times New Roman"/>
          <w:sz w:val="20"/>
        </w:rPr>
        <w:br/>
        <w:t>• Performed independent research to validate source credibility and cross-reference information, applying information literacy skills to maintain high standards for data-driven reports.</w:t>
        <w:br/>
      </w:r>
    </w:p>
    <w:p>
      <w:r>
        <w:rPr>
          <w:rFonts w:ascii="Times New Roman" w:hAnsi="Times New Roman"/>
          <w:sz w:val="20"/>
        </w:rPr>
        <w:br/>
        <w:t>• Applied Computer Science domain principles to review and audit model reasoning, ensuring consistency and accuracy in algorithmic outputs against established technical methodologies.</w:t>
        <w:br/>
      </w:r>
    </w:p>
    <w:p>
      <w:r>
        <w:rPr>
          <w:rFonts w:ascii="Times New Roman" w:hAnsi="Times New Roman"/>
          <w:sz w:val="20"/>
        </w:rPr>
        <w:br/>
        <w:t>• Served as a U.S.-based professional with full authorization to work, consistently meeting asynchronous project deadlines for high-stakes, data-intensive research assignments.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