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Designed and executed rigorous A/B testing frameworks for marketing campaigns, utilizing statistical significance tests to validate customer segmentation and improve conversion rates by 15%.</w:t>
        <w:br/>
      </w:r>
    </w:p>
    <w:p>
      <w:r>
        <w:rPr>
          <w:rFonts w:ascii="Times New Roman" w:hAnsi="Times New Roman"/>
          <w:sz w:val="20"/>
        </w:rPr>
        <w:br/>
        <w:t>• Implemented responsible AI practices by conducting bias mitigation audits on algorithmic outputs and establishing quality control pipelines to ensure model fairness and accuracy.</w:t>
        <w:br/>
      </w:r>
    </w:p>
    <w:p>
      <w:r>
        <w:rPr>
          <w:rFonts w:ascii="Times New Roman" w:hAnsi="Times New Roman"/>
          <w:sz w:val="20"/>
        </w:rPr>
        <w:br/>
        <w:t>• Integrated advanced AI tools into the analytics workflow by utilizing prompt engineering and context engineering to automate data extraction, reducing research cycle times by 30%.</w:t>
        <w:br/>
      </w:r>
    </w:p>
    <w:p>
      <w:r>
        <w:rPr>
          <w:rFonts w:ascii="Times New Roman" w:hAnsi="Times New Roman"/>
          <w:sz w:val="20"/>
        </w:rPr>
        <w:br/>
        <w:t>• Led risk assessment and model validation initiatives for lending portfolio data, incorporating bias mitigation strategies to ensure ethical data utilization and regulatory compliance.</w:t>
        <w:br/>
      </w:r>
    </w:p>
    <w:p>
      <w:r>
        <w:rPr>
          <w:rFonts w:ascii="Times New Roman" w:hAnsi="Times New Roman"/>
          <w:sz w:val="20"/>
        </w:rPr>
        <w:br/>
        <w:t>• Engineered Python-based agent orchestration scripts to automate recurring data quality checks and anomaly detection, significantly improving the reliability of downstream product metrics.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