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at Haven Technologies to manage data onboarding and validation rules, ensuring high-quality, audit-ready data structures for internal financial insurance platforms.</w:t>
        <w:br/>
      </w:r>
    </w:p>
    <w:p>
      <w:r>
        <w:rPr>
          <w:rFonts w:ascii="Times New Roman" w:hAnsi="Times New Roman"/>
          <w:sz w:val="20"/>
        </w:rPr>
        <w:br/>
        <w:t>• Led root cause analysis on production data discrepancies, implementing automated data quality controls and mappings that reduced recurring errors by 30%.</w:t>
        <w:br/>
      </w:r>
    </w:p>
    <w:p>
      <w:r>
        <w:rPr>
          <w:rFonts w:ascii="Times New Roman" w:hAnsi="Times New Roman"/>
          <w:sz w:val="20"/>
        </w:rPr>
        <w:br/>
        <w:t>• Partnered with business stakeholders to translate complex financial requirements into technical specifications, including precise data transformations and acceptance criteria for Agile sprint cycles.</w:t>
        <w:br/>
      </w:r>
    </w:p>
    <w:p>
      <w:r>
        <w:rPr>
          <w:rFonts w:ascii="Times New Roman" w:hAnsi="Times New Roman"/>
          <w:sz w:val="20"/>
        </w:rPr>
        <w:br/>
        <w:t>• Streamlined BAU data provisioning processes, driving continuous improvement in reporting accuracy and ensuring traceability across all financial data pipelines.</w:t>
        <w:br/>
      </w:r>
    </w:p>
    <w:p>
      <w:r>
        <w:rPr>
          <w:rFonts w:ascii="Times New Roman" w:hAnsi="Times New Roman"/>
          <w:sz w:val="20"/>
        </w:rPr>
        <w:br/>
        <w:t>• Applied risk-focused analysis to lending portfolios, developing standardized data models and validation metrics that supported regulatory reporting transparency and operational resilience.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