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deliver financial analysis and reporting on utilization and membership trends, ensuring accuracy in data-driven decision-making.</w:t>
        <w:br/>
      </w:r>
    </w:p>
    <w:p>
      <w:r>
        <w:rPr>
          <w:rFonts w:ascii="Times New Roman" w:hAnsi="Times New Roman"/>
          <w:sz w:val="20"/>
        </w:rPr>
        <w:br/>
        <w:t>• Streamlined data intake and reporting processes by managing documentation for complex business workflows, facilitating easier knowledge sharing and audit readiness.</w:t>
        <w:br/>
      </w:r>
    </w:p>
    <w:p>
      <w:r>
        <w:rPr>
          <w:rFonts w:ascii="Times New Roman" w:hAnsi="Times New Roman"/>
          <w:sz w:val="20"/>
        </w:rPr>
        <w:br/>
        <w:t>• Leveraged advanced SQL and Microsoft Excel to perform complex data extracts and projection analyses, supporting efforts related to risk and value-based payment (VBP) arrangements.</w:t>
        <w:br/>
      </w:r>
    </w:p>
    <w:p>
      <w:r>
        <w:rPr>
          <w:rFonts w:ascii="Times New Roman" w:hAnsi="Times New Roman"/>
          <w:sz w:val="20"/>
        </w:rPr>
        <w:br/>
        <w:t>• Integrated diverse datasets using SQL and Microsoft Access to support financial forecasting and reporting, ensuring data integrity across insurance operations.</w:t>
        <w:br/>
      </w:r>
    </w:p>
    <w:p>
      <w:r>
        <w:rPr>
          <w:rFonts w:ascii="Times New Roman" w:hAnsi="Times New Roman"/>
          <w:sz w:val="20"/>
        </w:rPr>
        <w:br/>
        <w:t>• Drafted professional technical documentation and reports in Microsoft Word and Excel to communicate findings on utilization and financial performance to internal and external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