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project stakeholders to evaluate vendor performance and AI model outputs, ensuring compliance with technical specifications and data accuracy requirements.</w:t>
        <w:br/>
      </w:r>
    </w:p>
    <w:p>
      <w:r>
        <w:rPr>
          <w:rFonts w:ascii="Times New Roman" w:hAnsi="Times New Roman"/>
          <w:sz w:val="20"/>
        </w:rPr>
        <w:br/>
        <w:t>• Engineered and maintained ETL pipelines using Python and SQL to integrate diverse data sources, ensuring reliability for financial reporting and operational metrics analysis.</w:t>
        <w:br/>
      </w:r>
    </w:p>
    <w:p>
      <w:r>
        <w:rPr>
          <w:rFonts w:ascii="Times New Roman" w:hAnsi="Times New Roman"/>
          <w:sz w:val="20"/>
        </w:rPr>
        <w:br/>
        <w:t>• Conducted on-site operational data collection and field observations, documenting system functionality and technical workflows to support infrastructure improvement initiatives.</w:t>
        <w:br/>
      </w:r>
    </w:p>
    <w:p>
      <w:r>
        <w:rPr>
          <w:rFonts w:ascii="Times New Roman" w:hAnsi="Times New Roman"/>
          <w:sz w:val="20"/>
        </w:rPr>
        <w:br/>
        <w:t>• Refined computer vision and automation workflows by auditing AI-generated outcomes, utilizing analytical skills to identify process bottlenecks and improve system reliability.</w:t>
        <w:br/>
      </w:r>
    </w:p>
    <w:p>
      <w:r>
        <w:rPr>
          <w:rFonts w:ascii="Times New Roman" w:hAnsi="Times New Roman"/>
          <w:sz w:val="20"/>
        </w:rPr>
        <w:br/>
        <w:t>• Documented complex analytical procedures and technical SOPs for cross-functional teams, ensuring consistent data governance and audit-ready reporting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