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stakeholders to troubleshoot EAM-related application issues, documenting technical resolutions to streamline support and improve system reliability.</w:t>
        <w:br/>
      </w:r>
    </w:p>
    <w:p>
      <w:r>
        <w:rPr>
          <w:rFonts w:ascii="Times New Roman" w:hAnsi="Times New Roman"/>
          <w:sz w:val="20"/>
        </w:rPr>
        <w:br/>
        <w:t>• Managed project tasks and workflow documentation using JIRA and Confluence, ensuring consistent tracking and adherence to organizational software implementation standards.</w:t>
        <w:br/>
      </w:r>
    </w:p>
    <w:p>
      <w:r>
        <w:rPr>
          <w:rFonts w:ascii="Times New Roman" w:hAnsi="Times New Roman"/>
          <w:sz w:val="20"/>
        </w:rPr>
        <w:br/>
        <w:t>• Provided direct support and troubleshooting for operational applications, consistently applying a customer-service-oriented approach to resolve internal stakeholder requests effectively.</w:t>
        <w:br/>
      </w:r>
    </w:p>
    <w:p>
      <w:r>
        <w:rPr>
          <w:rFonts w:ascii="Times New Roman" w:hAnsi="Times New Roman"/>
          <w:sz w:val="20"/>
        </w:rPr>
        <w:br/>
        <w:t>• Leveraged data modeling and SQL query expertise to perform asset-related data analysis, providing strategic recommendations for equipment maintenance and replacement cycles.</w:t>
        <w:br/>
      </w:r>
    </w:p>
    <w:p>
      <w:r>
        <w:rPr>
          <w:rFonts w:ascii="Times New Roman" w:hAnsi="Times New Roman"/>
          <w:sz w:val="20"/>
        </w:rPr>
        <w:br/>
        <w:t>• Currently pursuing graduate-level studies with a focus on data systems, applying rigorous academic analytical methods to real-world asset management and process optimization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