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scalable ETL solutions in BigQuery, applying SQL and Python proficiency to troubleshoot data integrity, similar to managing large-scale data lake and warehouse environments.</w:t>
        <w:br/>
      </w:r>
    </w:p>
    <w:p>
      <w:r>
        <w:rPr>
          <w:rFonts w:ascii="Times New Roman" w:hAnsi="Times New Roman"/>
          <w:sz w:val="20"/>
        </w:rPr>
        <w:br/>
        <w:t>• Led cross-functional project design reviews, collaborating with software engineering teams to define documentation standards and process-oriented runbooks for data pipeline production readiness.</w:t>
        <w:br/>
      </w:r>
    </w:p>
    <w:p>
      <w:r>
        <w:rPr>
          <w:rFonts w:ascii="Times New Roman" w:hAnsi="Times New Roman"/>
          <w:sz w:val="20"/>
        </w:rPr>
        <w:br/>
        <w:t>• Developed automated HR-centric reporting dashboards in Power BI and Excel, focusing on key performance indicators (KPIs) to drive data-driven decision-making for business stakeholders.</w:t>
        <w:br/>
      </w:r>
    </w:p>
    <w:p>
      <w:r>
        <w:rPr>
          <w:rFonts w:ascii="Times New Roman" w:hAnsi="Times New Roman"/>
          <w:sz w:val="20"/>
        </w:rPr>
        <w:br/>
        <w:t>• Engineered production-grade data pipelines using Apache Airflow and dbt, demonstrating advanced capability in workflow management and transformation logic transferable to Azure/Databricks ecosystems.</w:t>
        <w:br/>
      </w:r>
    </w:p>
    <w:p>
      <w:r>
        <w:rPr>
          <w:rFonts w:ascii="Times New Roman" w:hAnsi="Times New Roman"/>
          <w:sz w:val="20"/>
        </w:rPr>
        <w:br/>
        <w:t>• Conducted rigorous data extraction and transformation from REST APIs, ensuring high-quality, normalized datasets that support complex HR and financial data modeling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