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to engineer data solutions, including performing complex SQL and Python-based ESG data analysis to support sustainability-focused reporting.</w:t>
        <w:br/>
      </w:r>
    </w:p>
    <w:p>
      <w:r>
        <w:rPr>
          <w:rFonts w:ascii="Times New Roman" w:hAnsi="Times New Roman"/>
          <w:sz w:val="20"/>
        </w:rPr>
        <w:br/>
        <w:t>• Engineered robust ETL pipelines using Python and Snowflake to integrate disparate data sources, ensuring high-quality, audit-ready datasets for financial and sustainability reporting.</w:t>
        <w:br/>
      </w:r>
    </w:p>
    <w:p>
      <w:r>
        <w:rPr>
          <w:rFonts w:ascii="Times New Roman" w:hAnsi="Times New Roman"/>
          <w:sz w:val="20"/>
        </w:rPr>
        <w:br/>
        <w:t>• Applied advanced Python (Pandas/NumPy) to automate data management tasks, significantly reducing manual effort while enhancing data integrity for front-office stakeholder reporting.</w:t>
        <w:br/>
      </w:r>
    </w:p>
    <w:p>
      <w:r>
        <w:rPr>
          <w:rFonts w:ascii="Times New Roman" w:hAnsi="Times New Roman"/>
          <w:sz w:val="20"/>
        </w:rPr>
        <w:br/>
        <w:t>• Leveraged Snowflake and AWS S3 to build scalable data warehouses, applying rigorous data engineering practices to facilitate large-scale financial and sustainability data modeling.</w:t>
        <w:br/>
      </w:r>
    </w:p>
    <w:p>
      <w:r>
        <w:rPr>
          <w:rFonts w:ascii="Times New Roman" w:hAnsi="Times New Roman"/>
          <w:sz w:val="20"/>
        </w:rPr>
        <w:br/>
        <w:t>• Developed automated reporting dashboards in Power BI and Tableau that synthesize large-scale datasets, providing front-office teams with actionable insights to drive informed business decisions.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